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Annexe 4</w:t>
      </w:r>
    </w:p>
    <w:p>
      <w:pPr>
        <w:pStyle w:val="Normal"/>
        <w:spacing w:before="120" w:after="120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Modèle de budget prévisionnel</w:t>
      </w:r>
    </w:p>
    <w:p>
      <w:pPr>
        <w:pStyle w:val="Normal"/>
        <w:spacing w:before="120" w:after="120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</w:r>
    </w:p>
    <w:p>
      <w:pPr>
        <w:pStyle w:val="Normal"/>
        <w:spacing w:lineRule="auto" w:line="259" w:before="0" w:after="160"/>
        <w:jc w:val="both"/>
        <w:rPr/>
      </w:pPr>
      <w:r>
        <w:rPr>
          <w:rFonts w:ascii="Marianne" w:hAnsi="Marianne"/>
          <w:b/>
          <w:sz w:val="22"/>
          <w:szCs w:val="22"/>
        </w:rPr>
        <w:t>À</w:t>
      </w:r>
      <w:r>
        <w:rPr>
          <w:rFonts w:ascii="Marianne" w:hAnsi="Marianne"/>
          <w:b/>
          <w:sz w:val="22"/>
          <w:szCs w:val="22"/>
        </w:rPr>
        <w:t xml:space="preserve"> compléter en deux exemplaires : en année pleine et pour la première année de fonctionnement </w:t>
      </w:r>
    </w:p>
    <w:tbl>
      <w:tblPr>
        <w:tblW w:w="6752" w:type="dxa"/>
        <w:jc w:val="left"/>
        <w:tblInd w:w="-294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111"/>
        <w:gridCol w:w="2640"/>
      </w:tblGrid>
      <w:tr>
        <w:trPr>
          <w:trHeight w:val="435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Marianne" w:hAnsi="Marianne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Opérateur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places gérées en 2022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journées prévisionnelles en 202</w:t>
            </w: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places gérées en 202</w:t>
            </w: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journées prévisionnelles en 202</w:t>
            </w:r>
            <w: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ascii="Marianne" w:hAnsi="Marianne"/>
          <w:b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</w:r>
    </w:p>
    <w:tbl>
      <w:tblPr>
        <w:tblW w:w="9771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40"/>
        <w:gridCol w:w="2027"/>
        <w:gridCol w:w="2976"/>
        <w:gridCol w:w="2127"/>
      </w:tblGrid>
      <w:tr>
        <w:trPr>
          <w:trHeight w:val="375" w:hRule="atLeas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>
        <w:trPr>
          <w:trHeight w:val="300" w:hRule="atLeast"/>
        </w:trPr>
        <w:tc>
          <w:tcPr>
            <w:tcW w:w="4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RESSOURCES DIRECTES </w:t>
            </w:r>
          </w:p>
        </w:tc>
      </w:tr>
      <w:tr>
        <w:trPr>
          <w:trHeight w:val="73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60 – Achats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74- Subventions d’exploitation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État : préciser le(s) ministère(s) sollicité(s)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- Ministère de l’Intérieur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Région(s) :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Département(s) :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bookmarkStart w:id="0" w:name="RANGE!D21"/>
            <w:r>
              <w:rPr>
                <w:rFonts w:ascii="Marianne" w:hAnsi="Marianne"/>
                <w:color w:val="000000"/>
                <w:sz w:val="18"/>
                <w:szCs w:val="18"/>
              </w:rPr>
              <w:t>Intercommunalité(s) : EPCI</w:t>
            </w:r>
            <w:bookmarkEnd w:id="0"/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Commune(s) :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services extérieurs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Organismes sociaux (détailler) :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Impôts et taxes sur rémunération,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2027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- Fonds Asile Migration et Intégration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64- Charges de personnel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L'Agence de services et de paiement (ASP -emplois aidés-)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65- Autres charges de gestion courante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67- Charges exceptionnelles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77- produits exceptionnels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68- Dotation aux amortissements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RESSOURCES PROPRES AFFECTÉES </w:t>
            </w:r>
          </w:p>
        </w:tc>
      </w:tr>
      <w:tr>
        <w:trPr>
          <w:trHeight w:val="82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Charges fixes de fonctionnement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Frais financiers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both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both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9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</w:rPr>
            </w:pPr>
            <w:bookmarkStart w:id="2" w:name="RANGE!B45"/>
            <w:r>
              <w:rPr>
                <w:rFonts w:ascii="Marianne" w:hAnsi="Marianne"/>
                <w:b/>
                <w:bCs/>
                <w:color w:val="000000"/>
              </w:rPr>
              <w:t>CONTRIBUTIONS VOLONTAIRES</w:t>
            </w:r>
            <w:bookmarkEnd w:id="2"/>
          </w:p>
        </w:tc>
      </w:tr>
      <w:tr>
        <w:trPr>
          <w:trHeight w:val="73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87 - Contributions volontaires en nature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860- Secours en nature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870- Bénévolat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861- Mise à disposition gratuite de biens et services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871- Prestations en nature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862- Prestations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864- Personnel bénévole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875- Dons en nature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0">
          <wp:extent cx="923925" cy="809625"/>
          <wp:effectExtent l="0" t="0" r="0" b="0"/>
          <wp:docPr id="1" name="Image 1" descr="C:\Users\grosclaudema\Desktop\Logo-DG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grosclaudema\Desktop\Logo-DG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7e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db77db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b77db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06a63"/>
    <w:rPr>
      <w:rFonts w:ascii="Segoe UI" w:hAnsi="Segoe UI" w:eastAsia="Times New Roman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db77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db77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06a63"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293</Words>
  <Characters>1809</Characters>
  <CharactersWithSpaces>2097</CharactersWithSpaces>
  <Paragraphs>147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2022-10-05T14:04:43Z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